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D5" w:rsidRDefault="005836D5" w:rsidP="005836D5">
      <w:pPr>
        <w:spacing w:after="0"/>
        <w:rPr>
          <w:rFonts w:asciiTheme="minorHAnsi" w:hAnsiTheme="minorHAnsi"/>
          <w:b/>
          <w:bCs/>
          <w:sz w:val="28"/>
          <w:szCs w:val="28"/>
        </w:rPr>
      </w:pPr>
      <w:bookmarkStart w:id="0" w:name="_GoBack"/>
      <w:bookmarkEnd w:id="0"/>
    </w:p>
    <w:p w:rsidR="0003771E" w:rsidRPr="00574F56" w:rsidRDefault="0003771E" w:rsidP="00574F56">
      <w:pPr>
        <w:pStyle w:val="Title"/>
        <w:tabs>
          <w:tab w:val="left" w:pos="8647"/>
        </w:tabs>
        <w:spacing w:line="276" w:lineRule="auto"/>
        <w:ind w:left="-142"/>
        <w:jc w:val="left"/>
        <w:rPr>
          <w:rFonts w:asciiTheme="minorHAnsi" w:hAnsiTheme="minorHAnsi"/>
          <w:sz w:val="28"/>
          <w:szCs w:val="28"/>
        </w:rPr>
      </w:pPr>
      <w:r w:rsidRPr="0003771E">
        <w:rPr>
          <w:rFonts w:asciiTheme="minorHAnsi" w:hAnsiTheme="minorHAnsi"/>
          <w:sz w:val="28"/>
          <w:szCs w:val="28"/>
        </w:rPr>
        <w:t>CENTRE RISK MANAGEMENT SUMMARY</w:t>
      </w:r>
    </w:p>
    <w:p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 xml:space="preserve">High Borrans Outdoor Education Centre recognises the need for visiting groups to assure themselves as to the quality and safety of any outdoor activity provision. The purpose of this document is to help organisers by providing the information usually required. </w:t>
      </w:r>
    </w:p>
    <w:p w:rsidR="0003771E" w:rsidRPr="00F6200F" w:rsidRDefault="0003771E" w:rsidP="0003771E">
      <w:pPr>
        <w:tabs>
          <w:tab w:val="left" w:pos="8647"/>
        </w:tabs>
        <w:spacing w:after="0"/>
        <w:ind w:left="-142"/>
        <w:jc w:val="both"/>
        <w:rPr>
          <w:rFonts w:asciiTheme="minorHAnsi" w:hAnsiTheme="minorHAnsi"/>
          <w:sz w:val="20"/>
          <w:szCs w:val="20"/>
        </w:rPr>
      </w:pPr>
    </w:p>
    <w:p w:rsidR="0003771E" w:rsidRPr="00F6200F" w:rsidRDefault="0003771E" w:rsidP="0003771E">
      <w:pPr>
        <w:pStyle w:val="Heading1"/>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ADVENTURE ACTIVITIES LICENCE</w:t>
      </w:r>
    </w:p>
    <w:p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 xml:space="preserve">At High Borrans, we believe that the safety of outdoor activities is best assessed by the experience and expertise of the Adventure Activities Licensing Service (AALS). High Borrans is regularly inspected and holds a licence issued by AALS for the safe conduct of activities it delivers, as required by law. AALS is part of the Health and Safety Executive (HSE) who are the Adventure Activities Licensing Authority. Their remit includes Climbing, Caving, </w:t>
      </w:r>
      <w:proofErr w:type="spellStart"/>
      <w:r w:rsidRPr="00F6200F">
        <w:rPr>
          <w:rFonts w:asciiTheme="minorHAnsi" w:hAnsiTheme="minorHAnsi"/>
          <w:sz w:val="21"/>
          <w:szCs w:val="21"/>
        </w:rPr>
        <w:t>Watersports</w:t>
      </w:r>
      <w:proofErr w:type="spellEnd"/>
      <w:r w:rsidRPr="00F6200F">
        <w:rPr>
          <w:rFonts w:asciiTheme="minorHAnsi" w:hAnsiTheme="minorHAnsi"/>
          <w:sz w:val="21"/>
          <w:szCs w:val="21"/>
        </w:rPr>
        <w:t xml:space="preserve"> and Trekking (be it on foot, cycle or horseback). The inspection process covers the safety management of activities, which includes risk assessments, staff qualifications and the maintenance of equipment associated with the activities. The inspectors are experts in the field of outdoor activity delivery and the inspection is rigorous. High Borrans OEC undertakes to perform to the requirements and guidance of the Licensing Service and its inspectors and</w:t>
      </w:r>
      <w:r w:rsidR="00F76BBC">
        <w:rPr>
          <w:rFonts w:asciiTheme="minorHAnsi" w:hAnsiTheme="minorHAnsi"/>
          <w:sz w:val="21"/>
          <w:szCs w:val="21"/>
        </w:rPr>
        <w:t xml:space="preserve"> is subject to spot inspections (telephone 02920 755715).</w:t>
      </w:r>
      <w:r w:rsidR="002763DE">
        <w:rPr>
          <w:rFonts w:asciiTheme="minorHAnsi" w:hAnsiTheme="minorHAnsi"/>
          <w:sz w:val="21"/>
          <w:szCs w:val="21"/>
        </w:rPr>
        <w:t xml:space="preserve"> www.hse.gov.uk/aala/</w:t>
      </w:r>
    </w:p>
    <w:p w:rsidR="0003771E" w:rsidRPr="00F6200F" w:rsidRDefault="0003771E" w:rsidP="0003771E">
      <w:pPr>
        <w:tabs>
          <w:tab w:val="left" w:pos="8647"/>
        </w:tabs>
        <w:spacing w:after="0"/>
        <w:ind w:left="-142"/>
        <w:jc w:val="both"/>
        <w:rPr>
          <w:rFonts w:asciiTheme="minorHAnsi" w:hAnsiTheme="minorHAnsi"/>
          <w:sz w:val="21"/>
          <w:szCs w:val="21"/>
        </w:rPr>
      </w:pPr>
    </w:p>
    <w:p w:rsidR="00574F56" w:rsidRDefault="0003771E" w:rsidP="00574F56">
      <w:pPr>
        <w:tabs>
          <w:tab w:val="left" w:pos="567"/>
        </w:tabs>
        <w:spacing w:after="0"/>
        <w:ind w:left="-142"/>
        <w:jc w:val="both"/>
        <w:rPr>
          <w:rFonts w:asciiTheme="minorHAnsi" w:hAnsiTheme="minorHAnsi"/>
          <w:sz w:val="21"/>
          <w:szCs w:val="21"/>
        </w:rPr>
      </w:pPr>
      <w:r w:rsidRPr="00F6200F">
        <w:rPr>
          <w:rFonts w:asciiTheme="minorHAnsi" w:hAnsiTheme="minorHAnsi"/>
          <w:sz w:val="21"/>
          <w:szCs w:val="21"/>
        </w:rPr>
        <w:tab/>
        <w:t>High Borr</w:t>
      </w:r>
      <w:r w:rsidR="00574F56">
        <w:rPr>
          <w:rFonts w:asciiTheme="minorHAnsi" w:hAnsiTheme="minorHAnsi"/>
          <w:sz w:val="21"/>
          <w:szCs w:val="21"/>
        </w:rPr>
        <w:t>a</w:t>
      </w:r>
      <w:r w:rsidR="002763DE">
        <w:rPr>
          <w:rFonts w:asciiTheme="minorHAnsi" w:hAnsiTheme="minorHAnsi"/>
          <w:sz w:val="21"/>
          <w:szCs w:val="21"/>
        </w:rPr>
        <w:t xml:space="preserve">ns holds: </w:t>
      </w:r>
      <w:r w:rsidR="002763DE">
        <w:rPr>
          <w:rFonts w:asciiTheme="minorHAnsi" w:hAnsiTheme="minorHAnsi"/>
          <w:sz w:val="21"/>
          <w:szCs w:val="21"/>
        </w:rPr>
        <w:tab/>
        <w:t xml:space="preserve">Licence Number L14042   </w:t>
      </w:r>
      <w:r w:rsidRPr="00F6200F">
        <w:rPr>
          <w:rFonts w:asciiTheme="minorHAnsi" w:hAnsiTheme="minorHAnsi"/>
          <w:sz w:val="21"/>
          <w:szCs w:val="21"/>
        </w:rPr>
        <w:tab/>
        <w:t>Reference Number RO119</w:t>
      </w:r>
    </w:p>
    <w:p w:rsidR="0003771E" w:rsidRPr="00F6200F" w:rsidRDefault="0003771E" w:rsidP="00574F56">
      <w:pPr>
        <w:tabs>
          <w:tab w:val="left" w:pos="567"/>
        </w:tabs>
        <w:spacing w:after="0"/>
        <w:ind w:left="-142"/>
        <w:jc w:val="both"/>
        <w:rPr>
          <w:rFonts w:asciiTheme="minorHAnsi" w:hAnsiTheme="minorHAnsi"/>
          <w:sz w:val="21"/>
          <w:szCs w:val="21"/>
        </w:rPr>
      </w:pPr>
      <w:r w:rsidRPr="00F6200F">
        <w:rPr>
          <w:rFonts w:asciiTheme="minorHAnsi" w:hAnsiTheme="minorHAnsi"/>
          <w:sz w:val="21"/>
          <w:szCs w:val="21"/>
        </w:rPr>
        <w:t xml:space="preserve">The specified activities on this licence are: </w:t>
      </w:r>
    </w:p>
    <w:p w:rsidR="0003771E" w:rsidRPr="00F6200F" w:rsidRDefault="002763DE" w:rsidP="0003771E">
      <w:pPr>
        <w:numPr>
          <w:ilvl w:val="0"/>
          <w:numId w:val="1"/>
        </w:numPr>
        <w:tabs>
          <w:tab w:val="left" w:pos="8647"/>
        </w:tabs>
        <w:spacing w:after="0"/>
        <w:ind w:left="215" w:hanging="357"/>
        <w:jc w:val="both"/>
        <w:rPr>
          <w:rFonts w:asciiTheme="minorHAnsi" w:hAnsiTheme="minorHAnsi"/>
          <w:sz w:val="21"/>
          <w:szCs w:val="21"/>
        </w:rPr>
      </w:pPr>
      <w:proofErr w:type="spellStart"/>
      <w:r>
        <w:rPr>
          <w:rFonts w:asciiTheme="minorHAnsi" w:hAnsiTheme="minorHAnsi"/>
          <w:sz w:val="21"/>
          <w:szCs w:val="21"/>
        </w:rPr>
        <w:t>Watersports</w:t>
      </w:r>
      <w:proofErr w:type="spellEnd"/>
      <w:r>
        <w:rPr>
          <w:rFonts w:asciiTheme="minorHAnsi" w:hAnsiTheme="minorHAnsi"/>
          <w:sz w:val="21"/>
          <w:szCs w:val="21"/>
        </w:rPr>
        <w:t xml:space="preserve"> </w:t>
      </w:r>
    </w:p>
    <w:p w:rsidR="002763DE" w:rsidRDefault="002763DE" w:rsidP="0003771E">
      <w:pPr>
        <w:numPr>
          <w:ilvl w:val="0"/>
          <w:numId w:val="1"/>
        </w:numPr>
        <w:tabs>
          <w:tab w:val="left" w:pos="8647"/>
        </w:tabs>
        <w:spacing w:after="0"/>
        <w:ind w:left="215" w:hanging="357"/>
        <w:jc w:val="both"/>
        <w:rPr>
          <w:rFonts w:asciiTheme="minorHAnsi" w:hAnsiTheme="minorHAnsi"/>
          <w:sz w:val="21"/>
          <w:szCs w:val="21"/>
        </w:rPr>
      </w:pPr>
      <w:r>
        <w:rPr>
          <w:rFonts w:asciiTheme="minorHAnsi" w:hAnsiTheme="minorHAnsi"/>
          <w:sz w:val="21"/>
          <w:szCs w:val="21"/>
        </w:rPr>
        <w:t>Climbing</w:t>
      </w:r>
    </w:p>
    <w:p w:rsidR="0003771E" w:rsidRPr="002763DE" w:rsidRDefault="0003771E" w:rsidP="0003771E">
      <w:pPr>
        <w:numPr>
          <w:ilvl w:val="0"/>
          <w:numId w:val="1"/>
        </w:numPr>
        <w:tabs>
          <w:tab w:val="left" w:pos="8647"/>
        </w:tabs>
        <w:spacing w:after="0"/>
        <w:ind w:left="215" w:hanging="357"/>
        <w:jc w:val="both"/>
        <w:rPr>
          <w:rFonts w:asciiTheme="minorHAnsi" w:hAnsiTheme="minorHAnsi"/>
          <w:sz w:val="21"/>
          <w:szCs w:val="21"/>
        </w:rPr>
      </w:pPr>
      <w:r w:rsidRPr="002763DE">
        <w:rPr>
          <w:rFonts w:asciiTheme="minorHAnsi" w:hAnsiTheme="minorHAnsi"/>
          <w:sz w:val="21"/>
          <w:szCs w:val="21"/>
        </w:rPr>
        <w:t>Caving</w:t>
      </w:r>
    </w:p>
    <w:p w:rsidR="0003771E" w:rsidRPr="00F6200F" w:rsidRDefault="002763DE" w:rsidP="0003771E">
      <w:pPr>
        <w:numPr>
          <w:ilvl w:val="0"/>
          <w:numId w:val="1"/>
        </w:numPr>
        <w:tabs>
          <w:tab w:val="left" w:pos="8647"/>
        </w:tabs>
        <w:spacing w:after="0"/>
        <w:ind w:left="215" w:hanging="357"/>
        <w:jc w:val="both"/>
        <w:rPr>
          <w:rFonts w:asciiTheme="minorHAnsi" w:hAnsiTheme="minorHAnsi"/>
          <w:sz w:val="21"/>
          <w:szCs w:val="21"/>
        </w:rPr>
      </w:pPr>
      <w:r>
        <w:rPr>
          <w:rFonts w:asciiTheme="minorHAnsi" w:hAnsiTheme="minorHAnsi"/>
          <w:sz w:val="21"/>
          <w:szCs w:val="21"/>
        </w:rPr>
        <w:t>Trekking</w:t>
      </w:r>
    </w:p>
    <w:p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In addition, AALS can (and do) include in their inspection non-licensable activities and unrelated activities, to establish whether a “culture of safety” exists within the organisation.</w:t>
      </w:r>
    </w:p>
    <w:p w:rsidR="0003771E" w:rsidRPr="00F6200F" w:rsidRDefault="0003771E" w:rsidP="0003771E">
      <w:pPr>
        <w:pStyle w:val="Heading3"/>
        <w:spacing w:before="0"/>
        <w:rPr>
          <w:rFonts w:asciiTheme="minorHAnsi" w:eastAsia="Calibri" w:hAnsiTheme="minorHAnsi" w:cs="Times New Roman"/>
          <w:b w:val="0"/>
          <w:bCs w:val="0"/>
          <w:color w:val="auto"/>
          <w:sz w:val="21"/>
          <w:szCs w:val="21"/>
        </w:rPr>
      </w:pPr>
    </w:p>
    <w:p w:rsidR="0003771E" w:rsidRPr="00F76BBC" w:rsidRDefault="0003771E" w:rsidP="00F76BBC">
      <w:pPr>
        <w:pStyle w:val="Heading3"/>
        <w:spacing w:before="0"/>
        <w:ind w:left="-142"/>
        <w:rPr>
          <w:rFonts w:asciiTheme="minorHAnsi" w:eastAsia="Times" w:hAnsiTheme="minorHAnsi"/>
          <w:color w:val="auto"/>
          <w:sz w:val="21"/>
          <w:szCs w:val="21"/>
        </w:rPr>
      </w:pPr>
      <w:r w:rsidRPr="00F6200F">
        <w:rPr>
          <w:rFonts w:asciiTheme="minorHAnsi" w:eastAsia="Times" w:hAnsiTheme="minorHAnsi"/>
          <w:color w:val="auto"/>
          <w:sz w:val="21"/>
          <w:szCs w:val="21"/>
        </w:rPr>
        <w:t>ASSOCIATION OF HEADS OF OUTDOOR EDUCATION CENTRES’ GOLD STANDARD</w:t>
      </w:r>
    </w:p>
    <w:p w:rsidR="007F57A9"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t>High Borrans has been inspected in the following areas of outdoor education</w:t>
      </w:r>
      <w:r w:rsidR="007F57A9" w:rsidRPr="00F6200F">
        <w:rPr>
          <w:rFonts w:asciiTheme="minorHAnsi" w:hAnsiTheme="minorHAnsi"/>
          <w:sz w:val="21"/>
          <w:szCs w:val="21"/>
        </w:rPr>
        <w:t>;</w:t>
      </w:r>
    </w:p>
    <w:p w:rsidR="0003771E" w:rsidRPr="00F6200F" w:rsidRDefault="0003771E" w:rsidP="0003771E">
      <w:pPr>
        <w:spacing w:after="0"/>
        <w:ind w:left="-142"/>
        <w:rPr>
          <w:rFonts w:asciiTheme="minorHAnsi" w:hAnsiTheme="minorHAnsi"/>
          <w:sz w:val="21"/>
          <w:szCs w:val="21"/>
        </w:rPr>
      </w:pPr>
      <w:r w:rsidRPr="00F6200F">
        <w:rPr>
          <w:rFonts w:asciiTheme="minorHAnsi" w:hAnsiTheme="minorHAnsi"/>
          <w:sz w:val="21"/>
          <w:szCs w:val="21"/>
        </w:rPr>
        <w:sym w:font="Wingdings" w:char="006E"/>
      </w:r>
      <w:r w:rsidRPr="00F6200F">
        <w:rPr>
          <w:rFonts w:asciiTheme="minorHAnsi" w:hAnsiTheme="minorHAnsi"/>
          <w:sz w:val="21"/>
          <w:szCs w:val="21"/>
        </w:rPr>
        <w:t xml:space="preserve"> Customer care            </w:t>
      </w:r>
      <w:r w:rsidRPr="00F6200F">
        <w:rPr>
          <w:rFonts w:asciiTheme="minorHAnsi" w:hAnsiTheme="minorHAnsi"/>
          <w:sz w:val="21"/>
          <w:szCs w:val="21"/>
        </w:rPr>
        <w:sym w:font="Wingdings" w:char="006E"/>
      </w:r>
      <w:r w:rsidRPr="00F6200F">
        <w:rPr>
          <w:rFonts w:asciiTheme="minorHAnsi" w:hAnsiTheme="minorHAnsi"/>
          <w:sz w:val="21"/>
          <w:szCs w:val="21"/>
        </w:rPr>
        <w:t xml:space="preserve"> Safety management, policy, organisation and planning           </w:t>
      </w:r>
      <w:r w:rsidRPr="00F6200F">
        <w:rPr>
          <w:rFonts w:asciiTheme="minorHAnsi" w:hAnsiTheme="minorHAnsi"/>
          <w:sz w:val="21"/>
          <w:szCs w:val="21"/>
        </w:rPr>
        <w:sym w:font="Wingdings" w:char="006E"/>
      </w:r>
      <w:r w:rsidRPr="00F6200F">
        <w:rPr>
          <w:rFonts w:asciiTheme="minorHAnsi" w:hAnsiTheme="minorHAnsi"/>
          <w:sz w:val="21"/>
          <w:szCs w:val="21"/>
        </w:rPr>
        <w:t>General conditions</w:t>
      </w:r>
    </w:p>
    <w:p w:rsidR="0003771E"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sym w:font="Wingdings" w:char="006E"/>
      </w:r>
      <w:r w:rsidRPr="00F6200F">
        <w:rPr>
          <w:rFonts w:asciiTheme="minorHAnsi" w:hAnsiTheme="minorHAnsi"/>
          <w:sz w:val="21"/>
          <w:szCs w:val="21"/>
        </w:rPr>
        <w:t xml:space="preserve">Environmental sustainability     </w:t>
      </w:r>
      <w:r w:rsidRPr="00F6200F">
        <w:rPr>
          <w:rFonts w:asciiTheme="minorHAnsi" w:hAnsiTheme="minorHAnsi"/>
          <w:sz w:val="21"/>
          <w:szCs w:val="21"/>
        </w:rPr>
        <w:sym w:font="Wingdings" w:char="006E"/>
      </w:r>
      <w:r w:rsidRPr="00F6200F">
        <w:rPr>
          <w:rFonts w:asciiTheme="minorHAnsi" w:hAnsiTheme="minorHAnsi"/>
          <w:sz w:val="21"/>
          <w:szCs w:val="21"/>
        </w:rPr>
        <w:t xml:space="preserve">Quality assurance, measuring and reviewing performance      </w:t>
      </w:r>
      <w:r w:rsidRPr="00F6200F">
        <w:rPr>
          <w:rFonts w:asciiTheme="minorHAnsi" w:hAnsiTheme="minorHAnsi"/>
          <w:sz w:val="21"/>
          <w:szCs w:val="21"/>
        </w:rPr>
        <w:sym w:font="Wingdings" w:char="006E"/>
      </w:r>
      <w:r w:rsidRPr="00F6200F">
        <w:rPr>
          <w:rFonts w:asciiTheme="minorHAnsi" w:hAnsiTheme="minorHAnsi"/>
          <w:sz w:val="21"/>
          <w:szCs w:val="21"/>
        </w:rPr>
        <w:t xml:space="preserve"> Facilities</w:t>
      </w:r>
    </w:p>
    <w:p w:rsidR="007F57A9" w:rsidRPr="00F6200F" w:rsidRDefault="007F57A9" w:rsidP="0003771E">
      <w:pPr>
        <w:tabs>
          <w:tab w:val="left" w:pos="8647"/>
        </w:tabs>
        <w:spacing w:after="0"/>
        <w:ind w:left="-142"/>
        <w:rPr>
          <w:rFonts w:asciiTheme="minorHAnsi" w:hAnsiTheme="minorHAnsi"/>
          <w:sz w:val="21"/>
          <w:szCs w:val="21"/>
        </w:rPr>
      </w:pPr>
    </w:p>
    <w:p w:rsidR="007F57A9" w:rsidRPr="00F6200F" w:rsidRDefault="00A9109E" w:rsidP="0003771E">
      <w:pPr>
        <w:tabs>
          <w:tab w:val="left" w:pos="8647"/>
        </w:tabs>
        <w:spacing w:after="0"/>
        <w:ind w:left="-142"/>
        <w:rPr>
          <w:rFonts w:asciiTheme="minorHAnsi" w:hAnsiTheme="minorHAnsi"/>
          <w:color w:val="0000FF"/>
          <w:sz w:val="21"/>
          <w:szCs w:val="21"/>
        </w:rPr>
      </w:pPr>
      <w:r>
        <w:rPr>
          <w:rFonts w:asciiTheme="minorHAnsi" w:hAnsiTheme="minorHAnsi"/>
          <w:sz w:val="21"/>
          <w:szCs w:val="21"/>
        </w:rPr>
        <w:t xml:space="preserve">For information on this </w:t>
      </w:r>
      <w:r w:rsidR="007F57A9" w:rsidRPr="00F6200F">
        <w:rPr>
          <w:rFonts w:asciiTheme="minorHAnsi" w:hAnsiTheme="minorHAnsi"/>
          <w:sz w:val="21"/>
          <w:szCs w:val="21"/>
        </w:rPr>
        <w:t xml:space="preserve">highest </w:t>
      </w:r>
      <w:r w:rsidR="0003771E" w:rsidRPr="00F6200F">
        <w:rPr>
          <w:rFonts w:asciiTheme="minorHAnsi" w:hAnsiTheme="minorHAnsi"/>
          <w:sz w:val="21"/>
          <w:szCs w:val="21"/>
        </w:rPr>
        <w:t xml:space="preserve">quality award </w:t>
      </w:r>
      <w:r>
        <w:rPr>
          <w:rFonts w:asciiTheme="minorHAnsi" w:hAnsiTheme="minorHAnsi"/>
          <w:sz w:val="21"/>
          <w:szCs w:val="21"/>
        </w:rPr>
        <w:t xml:space="preserve">go to:   </w:t>
      </w:r>
      <w:hyperlink r:id="rId8" w:history="1">
        <w:r w:rsidR="0003771E" w:rsidRPr="00F6200F">
          <w:rPr>
            <w:rStyle w:val="Hyperlink"/>
            <w:rFonts w:asciiTheme="minorHAnsi" w:hAnsiTheme="minorHAnsi"/>
            <w:sz w:val="21"/>
            <w:szCs w:val="21"/>
          </w:rPr>
          <w:t>www.ahoec.org/gold_standard.htm</w:t>
        </w:r>
      </w:hyperlink>
      <w:r w:rsidR="007F57A9" w:rsidRPr="00F6200F">
        <w:rPr>
          <w:rFonts w:asciiTheme="minorHAnsi" w:hAnsiTheme="minorHAnsi"/>
          <w:color w:val="0000FF"/>
          <w:sz w:val="21"/>
          <w:szCs w:val="21"/>
        </w:rPr>
        <w:t xml:space="preserve">    </w:t>
      </w:r>
    </w:p>
    <w:p w:rsidR="00F6200F" w:rsidRPr="004724BA" w:rsidRDefault="007F57A9"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t xml:space="preserve">High Borrans also hold s the </w:t>
      </w:r>
      <w:proofErr w:type="spellStart"/>
      <w:r w:rsidRPr="00F6200F">
        <w:rPr>
          <w:rFonts w:asciiTheme="minorHAnsi" w:hAnsiTheme="minorHAnsi"/>
          <w:sz w:val="21"/>
          <w:szCs w:val="21"/>
        </w:rPr>
        <w:t>Adventuremark</w:t>
      </w:r>
      <w:proofErr w:type="spellEnd"/>
      <w:r w:rsidRPr="00F6200F">
        <w:rPr>
          <w:rFonts w:asciiTheme="minorHAnsi" w:hAnsiTheme="minorHAnsi"/>
          <w:sz w:val="21"/>
          <w:szCs w:val="21"/>
        </w:rPr>
        <w:t xml:space="preserve"> and the Learning </w:t>
      </w:r>
      <w:proofErr w:type="gramStart"/>
      <w:r w:rsidRPr="00F6200F">
        <w:rPr>
          <w:rFonts w:asciiTheme="minorHAnsi" w:hAnsiTheme="minorHAnsi"/>
          <w:sz w:val="21"/>
          <w:szCs w:val="21"/>
        </w:rPr>
        <w:t>Outside</w:t>
      </w:r>
      <w:proofErr w:type="gramEnd"/>
      <w:r w:rsidRPr="00F6200F">
        <w:rPr>
          <w:rFonts w:asciiTheme="minorHAnsi" w:hAnsiTheme="minorHAnsi"/>
          <w:sz w:val="21"/>
          <w:szCs w:val="21"/>
        </w:rPr>
        <w:t xml:space="preserve"> the Classroom Quality Badge</w:t>
      </w:r>
      <w:r w:rsidR="004724BA">
        <w:rPr>
          <w:rFonts w:asciiTheme="minorHAnsi" w:hAnsiTheme="minorHAnsi"/>
          <w:sz w:val="21"/>
          <w:szCs w:val="21"/>
        </w:rPr>
        <w:t xml:space="preserve"> and holds a Food Hygiene Rating of 5/5 (Very Good) Awarded by South Lakes District Council (</w:t>
      </w:r>
      <w:r w:rsidR="004724BA" w:rsidRPr="004724BA">
        <w:rPr>
          <w:rFonts w:asciiTheme="minorHAnsi" w:hAnsiTheme="minorHAnsi"/>
          <w:sz w:val="21"/>
          <w:szCs w:val="21"/>
        </w:rPr>
        <w:t>food.gov.uk/ratings</w:t>
      </w:r>
      <w:r w:rsidR="004724BA">
        <w:rPr>
          <w:rFonts w:asciiTheme="minorHAnsi" w:hAnsiTheme="minorHAnsi"/>
          <w:sz w:val="21"/>
          <w:szCs w:val="21"/>
        </w:rPr>
        <w:t>).</w:t>
      </w:r>
    </w:p>
    <w:p w:rsidR="00F6200F" w:rsidRDefault="00F6200F" w:rsidP="0003771E">
      <w:pPr>
        <w:tabs>
          <w:tab w:val="left" w:pos="8647"/>
        </w:tabs>
        <w:spacing w:after="0"/>
        <w:ind w:left="-142"/>
        <w:rPr>
          <w:rFonts w:asciiTheme="minorHAnsi" w:hAnsiTheme="minorHAnsi"/>
          <w:b/>
          <w:sz w:val="21"/>
          <w:szCs w:val="21"/>
        </w:rPr>
      </w:pPr>
    </w:p>
    <w:p w:rsidR="0003771E"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b/>
          <w:sz w:val="21"/>
          <w:szCs w:val="21"/>
        </w:rPr>
        <w:t>STAFF COMPETENCE</w:t>
      </w:r>
    </w:p>
    <w:p w:rsidR="0003771E" w:rsidRPr="00F6200F" w:rsidRDefault="0003771E" w:rsidP="0003771E">
      <w:pPr>
        <w:tabs>
          <w:tab w:val="left" w:pos="8647"/>
        </w:tabs>
        <w:spacing w:after="0"/>
        <w:ind w:left="-142"/>
        <w:jc w:val="both"/>
        <w:rPr>
          <w:rFonts w:asciiTheme="minorHAnsi" w:hAnsiTheme="minorHAnsi"/>
          <w:b/>
          <w:sz w:val="21"/>
          <w:szCs w:val="21"/>
        </w:rPr>
      </w:pPr>
      <w:r w:rsidRPr="00F6200F">
        <w:rPr>
          <w:rFonts w:asciiTheme="minorHAnsi" w:hAnsiTheme="minorHAnsi"/>
          <w:sz w:val="21"/>
          <w:szCs w:val="21"/>
        </w:rPr>
        <w:t>All staff leading activities will hold the relevant National Governing Body qualification or have been assessed as competent by an appropriately experienced and qualified person as required by the Licensing Service.</w:t>
      </w:r>
    </w:p>
    <w:p w:rsidR="00651B9A" w:rsidRDefault="00651B9A" w:rsidP="0003771E">
      <w:pPr>
        <w:tabs>
          <w:tab w:val="left" w:pos="8647"/>
        </w:tabs>
        <w:spacing w:after="0"/>
        <w:ind w:left="-142"/>
        <w:jc w:val="both"/>
        <w:rPr>
          <w:rFonts w:asciiTheme="minorHAnsi" w:hAnsiTheme="minorHAnsi"/>
          <w:b/>
          <w:sz w:val="21"/>
          <w:szCs w:val="21"/>
        </w:rPr>
      </w:pPr>
    </w:p>
    <w:p w:rsidR="00E60E6E" w:rsidRDefault="00E60E6E" w:rsidP="0003771E">
      <w:pPr>
        <w:tabs>
          <w:tab w:val="left" w:pos="8647"/>
        </w:tabs>
        <w:spacing w:after="0"/>
        <w:ind w:left="-142"/>
        <w:jc w:val="both"/>
        <w:rPr>
          <w:rFonts w:asciiTheme="minorHAnsi" w:hAnsiTheme="minorHAnsi"/>
          <w:b/>
          <w:sz w:val="21"/>
          <w:szCs w:val="21"/>
        </w:rPr>
      </w:pPr>
    </w:p>
    <w:p w:rsidR="0003771E" w:rsidRPr="00F6200F" w:rsidRDefault="0003771E" w:rsidP="0003771E">
      <w:pPr>
        <w:tabs>
          <w:tab w:val="left" w:pos="8647"/>
        </w:tabs>
        <w:spacing w:after="0"/>
        <w:ind w:left="-142"/>
        <w:jc w:val="both"/>
        <w:rPr>
          <w:rFonts w:asciiTheme="minorHAnsi" w:hAnsiTheme="minorHAnsi"/>
          <w:b/>
          <w:sz w:val="21"/>
          <w:szCs w:val="21"/>
        </w:rPr>
      </w:pPr>
      <w:r w:rsidRPr="00F6200F">
        <w:rPr>
          <w:rFonts w:asciiTheme="minorHAnsi" w:hAnsiTheme="minorHAnsi"/>
          <w:b/>
          <w:sz w:val="21"/>
          <w:szCs w:val="21"/>
        </w:rPr>
        <w:t>RISK ASSESSMENTS</w:t>
      </w:r>
    </w:p>
    <w:p w:rsidR="002763DE" w:rsidRDefault="0003771E" w:rsidP="00E60E6E">
      <w:pPr>
        <w:tabs>
          <w:tab w:val="left" w:pos="8647"/>
        </w:tabs>
        <w:spacing w:after="0"/>
        <w:ind w:left="-142"/>
        <w:rPr>
          <w:rFonts w:asciiTheme="minorHAnsi" w:hAnsiTheme="minorHAnsi"/>
          <w:sz w:val="21"/>
          <w:szCs w:val="21"/>
        </w:rPr>
      </w:pPr>
      <w:r w:rsidRPr="00F6200F">
        <w:rPr>
          <w:rFonts w:asciiTheme="minorHAnsi" w:hAnsiTheme="minorHAnsi"/>
          <w:sz w:val="21"/>
          <w:szCs w:val="21"/>
        </w:rPr>
        <w:t>High Borrans conforms to North Tyneside Council’s Schools Health and Safety Policy which includes Health and Safety of Pupils on Educational Visits.  High Borrans has a Codes of Practice which include</w:t>
      </w:r>
      <w:r w:rsidR="00AA52DF">
        <w:rPr>
          <w:rFonts w:asciiTheme="minorHAnsi" w:hAnsiTheme="minorHAnsi"/>
          <w:sz w:val="21"/>
          <w:szCs w:val="21"/>
        </w:rPr>
        <w:t>s operational procedures</w:t>
      </w:r>
      <w:r w:rsidRPr="00F6200F">
        <w:rPr>
          <w:rFonts w:asciiTheme="minorHAnsi" w:hAnsiTheme="minorHAnsi"/>
          <w:sz w:val="21"/>
          <w:szCs w:val="21"/>
        </w:rPr>
        <w:t xml:space="preserve"> generic risk assessments supported by site specific risk assessments. Daily risk assessments are carried out at the morning planning meeting which take into account the forecast weather, staff qualifications, equipment availability, group abilities and the planned acti</w:t>
      </w:r>
      <w:r w:rsidR="007F57A9" w:rsidRPr="00F6200F">
        <w:rPr>
          <w:rFonts w:asciiTheme="minorHAnsi" w:hAnsiTheme="minorHAnsi"/>
          <w:sz w:val="21"/>
          <w:szCs w:val="21"/>
        </w:rPr>
        <w:t xml:space="preserve">vity. </w:t>
      </w:r>
      <w:r w:rsidRPr="00F6200F">
        <w:rPr>
          <w:rFonts w:asciiTheme="minorHAnsi" w:hAnsiTheme="minorHAnsi"/>
          <w:sz w:val="21"/>
          <w:szCs w:val="21"/>
        </w:rPr>
        <w:t xml:space="preserve">Dynamic risk assessments are carried out by activity delivery staff during the activity to take into account local conditions and other continually changing factors. Risk </w:t>
      </w:r>
    </w:p>
    <w:p w:rsidR="002763DE" w:rsidRDefault="002763DE" w:rsidP="00E60E6E">
      <w:pPr>
        <w:tabs>
          <w:tab w:val="left" w:pos="8647"/>
        </w:tabs>
        <w:spacing w:after="0"/>
        <w:ind w:left="-142"/>
        <w:rPr>
          <w:rFonts w:asciiTheme="minorHAnsi" w:hAnsiTheme="minorHAnsi"/>
          <w:sz w:val="21"/>
          <w:szCs w:val="21"/>
        </w:rPr>
      </w:pPr>
    </w:p>
    <w:p w:rsidR="002763DE" w:rsidRDefault="002763DE" w:rsidP="00E60E6E">
      <w:pPr>
        <w:tabs>
          <w:tab w:val="left" w:pos="8647"/>
        </w:tabs>
        <w:spacing w:after="0"/>
        <w:ind w:left="-142"/>
        <w:rPr>
          <w:rFonts w:asciiTheme="minorHAnsi" w:hAnsiTheme="minorHAnsi"/>
          <w:sz w:val="21"/>
          <w:szCs w:val="21"/>
        </w:rPr>
      </w:pPr>
    </w:p>
    <w:p w:rsidR="00E60E6E" w:rsidRDefault="0003771E" w:rsidP="00E60E6E">
      <w:pPr>
        <w:tabs>
          <w:tab w:val="left" w:pos="8647"/>
        </w:tabs>
        <w:spacing w:after="0"/>
        <w:ind w:left="-142"/>
        <w:rPr>
          <w:rFonts w:asciiTheme="minorHAnsi" w:hAnsiTheme="minorHAnsi"/>
          <w:sz w:val="21"/>
          <w:szCs w:val="21"/>
        </w:rPr>
      </w:pPr>
      <w:proofErr w:type="gramStart"/>
      <w:r w:rsidRPr="00F6200F">
        <w:rPr>
          <w:rFonts w:asciiTheme="minorHAnsi" w:hAnsiTheme="minorHAnsi"/>
          <w:sz w:val="21"/>
          <w:szCs w:val="21"/>
        </w:rPr>
        <w:t>assessments</w:t>
      </w:r>
      <w:proofErr w:type="gramEnd"/>
      <w:r w:rsidRPr="00F6200F">
        <w:rPr>
          <w:rFonts w:asciiTheme="minorHAnsi" w:hAnsiTheme="minorHAnsi"/>
          <w:sz w:val="21"/>
          <w:szCs w:val="21"/>
        </w:rPr>
        <w:t xml:space="preserve"> and risk management is a major part of the AALS </w:t>
      </w:r>
      <w:r w:rsidR="00AA52DF">
        <w:rPr>
          <w:rFonts w:asciiTheme="minorHAnsi" w:hAnsiTheme="minorHAnsi"/>
          <w:sz w:val="21"/>
          <w:szCs w:val="21"/>
        </w:rPr>
        <w:t>inspection and relevant documents  are</w:t>
      </w:r>
      <w:r w:rsidRPr="00F6200F">
        <w:rPr>
          <w:rFonts w:asciiTheme="minorHAnsi" w:hAnsiTheme="minorHAnsi"/>
          <w:sz w:val="21"/>
          <w:szCs w:val="21"/>
        </w:rPr>
        <w:t xml:space="preserve"> </w:t>
      </w:r>
      <w:r w:rsidR="00AA52DF">
        <w:rPr>
          <w:rFonts w:asciiTheme="minorHAnsi" w:hAnsiTheme="minorHAnsi"/>
          <w:sz w:val="21"/>
          <w:szCs w:val="21"/>
        </w:rPr>
        <w:t xml:space="preserve">on our </w:t>
      </w:r>
      <w:r w:rsidRPr="00F6200F">
        <w:rPr>
          <w:rFonts w:asciiTheme="minorHAnsi" w:hAnsiTheme="minorHAnsi"/>
          <w:sz w:val="21"/>
          <w:szCs w:val="21"/>
        </w:rPr>
        <w:t>website for reference. All visitors to the centre are asked to acknowledge the residual risk inherent in adventurous activities prior to their visit.</w:t>
      </w:r>
    </w:p>
    <w:p w:rsidR="0003771E" w:rsidRPr="00E60E6E" w:rsidRDefault="0003771E" w:rsidP="00E60E6E">
      <w:pPr>
        <w:tabs>
          <w:tab w:val="left" w:pos="8647"/>
        </w:tabs>
        <w:spacing w:after="0"/>
        <w:ind w:left="-142"/>
        <w:rPr>
          <w:rFonts w:asciiTheme="minorHAnsi" w:hAnsiTheme="minorHAnsi"/>
          <w:b/>
          <w:sz w:val="21"/>
          <w:szCs w:val="21"/>
        </w:rPr>
      </w:pPr>
      <w:r w:rsidRPr="00E60E6E">
        <w:rPr>
          <w:rFonts w:asciiTheme="minorHAnsi" w:hAnsiTheme="minorHAnsi"/>
          <w:b/>
          <w:sz w:val="21"/>
          <w:szCs w:val="21"/>
        </w:rPr>
        <w:t>TRANSFER OF RESPONSIBILITIES</w:t>
      </w:r>
    </w:p>
    <w:p w:rsidR="0003771E" w:rsidRPr="00574F56" w:rsidRDefault="0003771E" w:rsidP="00574F56">
      <w:pPr>
        <w:pStyle w:val="Heading2"/>
        <w:tabs>
          <w:tab w:val="left" w:pos="8647"/>
        </w:tabs>
        <w:spacing w:before="0"/>
        <w:ind w:left="-142"/>
        <w:rPr>
          <w:rFonts w:asciiTheme="minorHAnsi" w:hAnsiTheme="minorHAnsi"/>
          <w:color w:val="auto"/>
          <w:sz w:val="21"/>
          <w:szCs w:val="21"/>
        </w:rPr>
      </w:pPr>
      <w:r w:rsidRPr="00F6200F">
        <w:rPr>
          <w:rFonts w:asciiTheme="minorHAnsi" w:hAnsiTheme="minorHAnsi"/>
          <w:b w:val="0"/>
          <w:color w:val="auto"/>
          <w:sz w:val="21"/>
          <w:szCs w:val="21"/>
        </w:rPr>
        <w:t xml:space="preserve">The visiting group leader has overall responsibility for their group at all times.  The Head of High Borrans has responsibility for the programme, the equipment and general provision of the Centre and for operating the Centre to legal requirements.  High Borrans staff will be responsible for the safety and management of participants on all High Borrans led activities. It is essential that visiting staff provide advice regarding individuals and offer appropriate support to enable the activities staff to properly perform their duties. Visiting staff remain </w:t>
      </w:r>
      <w:r w:rsidRPr="00F6200F">
        <w:rPr>
          <w:rFonts w:asciiTheme="minorHAnsi" w:hAnsiTheme="minorHAnsi"/>
          <w:b w:val="0"/>
          <w:i/>
          <w:color w:val="auto"/>
          <w:sz w:val="21"/>
          <w:szCs w:val="21"/>
        </w:rPr>
        <w:t xml:space="preserve">in loco parentis </w:t>
      </w:r>
      <w:r w:rsidRPr="00F6200F">
        <w:rPr>
          <w:rFonts w:asciiTheme="minorHAnsi" w:hAnsiTheme="minorHAnsi"/>
          <w:b w:val="0"/>
          <w:color w:val="auto"/>
          <w:sz w:val="21"/>
          <w:szCs w:val="21"/>
        </w:rPr>
        <w:t>at all times</w:t>
      </w:r>
      <w:r w:rsidRPr="00F6200F">
        <w:rPr>
          <w:rFonts w:asciiTheme="minorHAnsi" w:hAnsiTheme="minorHAnsi"/>
          <w:b w:val="0"/>
          <w:i/>
          <w:color w:val="auto"/>
          <w:sz w:val="21"/>
          <w:szCs w:val="21"/>
        </w:rPr>
        <w:t xml:space="preserve"> </w:t>
      </w:r>
      <w:r w:rsidRPr="00F6200F">
        <w:rPr>
          <w:rFonts w:asciiTheme="minorHAnsi" w:hAnsiTheme="minorHAnsi"/>
          <w:b w:val="0"/>
          <w:color w:val="auto"/>
          <w:sz w:val="21"/>
          <w:szCs w:val="21"/>
        </w:rPr>
        <w:t xml:space="preserve">for participants under 18. If a participant is withdrawn from the “led” activity for any reason, then the responsibility for those withdrawn will revert to the visiting staff. If at any time the visiting </w:t>
      </w:r>
      <w:proofErr w:type="gramStart"/>
      <w:r w:rsidRPr="00F6200F">
        <w:rPr>
          <w:rFonts w:asciiTheme="minorHAnsi" w:hAnsiTheme="minorHAnsi"/>
          <w:b w:val="0"/>
          <w:color w:val="auto"/>
          <w:sz w:val="21"/>
          <w:szCs w:val="21"/>
        </w:rPr>
        <w:t>staff are</w:t>
      </w:r>
      <w:proofErr w:type="gramEnd"/>
      <w:r w:rsidRPr="00F6200F">
        <w:rPr>
          <w:rFonts w:asciiTheme="minorHAnsi" w:hAnsiTheme="minorHAnsi"/>
          <w:b w:val="0"/>
          <w:color w:val="auto"/>
          <w:sz w:val="21"/>
          <w:szCs w:val="21"/>
        </w:rPr>
        <w:t xml:space="preserve"> unhappy about the activity it is essential that they make their concerns known to High Borrans staff at the earliest opportunity. Visiting staff </w:t>
      </w:r>
      <w:r w:rsidR="00F6200F" w:rsidRPr="00F6200F">
        <w:rPr>
          <w:rFonts w:asciiTheme="minorHAnsi" w:hAnsiTheme="minorHAnsi"/>
          <w:b w:val="0"/>
          <w:color w:val="auto"/>
          <w:sz w:val="21"/>
          <w:szCs w:val="21"/>
        </w:rPr>
        <w:t>views will be respected if for any reason they request that an</w:t>
      </w:r>
      <w:r w:rsidRPr="00F6200F">
        <w:rPr>
          <w:rFonts w:asciiTheme="minorHAnsi" w:hAnsiTheme="minorHAnsi"/>
          <w:b w:val="0"/>
          <w:color w:val="auto"/>
          <w:sz w:val="21"/>
          <w:szCs w:val="21"/>
        </w:rPr>
        <w:t xml:space="preserve"> activity does not continue</w:t>
      </w:r>
      <w:r w:rsidR="00F6200F" w:rsidRPr="00F6200F">
        <w:rPr>
          <w:rFonts w:asciiTheme="minorHAnsi" w:hAnsiTheme="minorHAnsi"/>
          <w:b w:val="0"/>
          <w:color w:val="auto"/>
          <w:sz w:val="21"/>
          <w:szCs w:val="21"/>
        </w:rPr>
        <w:t>.</w:t>
      </w:r>
    </w:p>
    <w:p w:rsidR="00574F56" w:rsidRDefault="00574F56" w:rsidP="0003771E">
      <w:pPr>
        <w:pStyle w:val="Heading2"/>
        <w:tabs>
          <w:tab w:val="left" w:pos="8647"/>
        </w:tabs>
        <w:spacing w:before="0"/>
        <w:ind w:left="-142"/>
        <w:rPr>
          <w:rFonts w:asciiTheme="minorHAnsi" w:hAnsiTheme="minorHAnsi"/>
          <w:color w:val="auto"/>
          <w:sz w:val="21"/>
          <w:szCs w:val="21"/>
        </w:rPr>
      </w:pPr>
    </w:p>
    <w:p w:rsidR="0003771E" w:rsidRPr="00F6200F" w:rsidRDefault="0003771E" w:rsidP="0003771E">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SUPERVISION WHEN NOT ON ACTIVITIES</w:t>
      </w:r>
    </w:p>
    <w:p w:rsidR="0003771E" w:rsidRPr="00F6200F" w:rsidRDefault="0003771E" w:rsidP="0003771E">
      <w:pPr>
        <w:pStyle w:val="Heading2"/>
        <w:tabs>
          <w:tab w:val="left" w:pos="8647"/>
        </w:tabs>
        <w:spacing w:before="0"/>
        <w:ind w:left="-142"/>
        <w:rPr>
          <w:rFonts w:asciiTheme="minorHAnsi" w:hAnsiTheme="minorHAnsi"/>
          <w:b w:val="0"/>
          <w:color w:val="auto"/>
          <w:sz w:val="21"/>
          <w:szCs w:val="21"/>
        </w:rPr>
      </w:pPr>
      <w:r w:rsidRPr="00F6200F">
        <w:rPr>
          <w:rFonts w:asciiTheme="minorHAnsi" w:hAnsiTheme="minorHAnsi"/>
          <w:b w:val="0"/>
          <w:color w:val="auto"/>
          <w:sz w:val="21"/>
          <w:szCs w:val="21"/>
        </w:rPr>
        <w:t xml:space="preserve">Visiting staff are responsible for the supervision of their groups when not in a structured session led by High Borrans staff. High Borrans has a member of staff on call for assistance or in the event of an emergency who is a qualified First </w:t>
      </w:r>
      <w:r w:rsidR="00574F56">
        <w:rPr>
          <w:rFonts w:asciiTheme="minorHAnsi" w:hAnsiTheme="minorHAnsi"/>
          <w:b w:val="0"/>
          <w:color w:val="auto"/>
          <w:sz w:val="21"/>
          <w:szCs w:val="21"/>
        </w:rPr>
        <w:t>Aider. The Head of Centre and his</w:t>
      </w:r>
      <w:r w:rsidRPr="00F6200F">
        <w:rPr>
          <w:rFonts w:asciiTheme="minorHAnsi" w:hAnsiTheme="minorHAnsi"/>
          <w:b w:val="0"/>
          <w:color w:val="auto"/>
          <w:sz w:val="21"/>
          <w:szCs w:val="21"/>
        </w:rPr>
        <w:t xml:space="preserve"> family are</w:t>
      </w:r>
      <w:r w:rsidR="00574F56">
        <w:rPr>
          <w:rFonts w:asciiTheme="minorHAnsi" w:hAnsiTheme="minorHAnsi"/>
          <w:b w:val="0"/>
          <w:color w:val="auto"/>
          <w:sz w:val="21"/>
          <w:szCs w:val="21"/>
        </w:rPr>
        <w:t xml:space="preserve"> normally</w:t>
      </w:r>
      <w:r w:rsidRPr="00F6200F">
        <w:rPr>
          <w:rFonts w:asciiTheme="minorHAnsi" w:hAnsiTheme="minorHAnsi"/>
          <w:b w:val="0"/>
          <w:color w:val="auto"/>
          <w:sz w:val="21"/>
          <w:szCs w:val="21"/>
        </w:rPr>
        <w:t xml:space="preserve"> resident at the Centre. Rules regarding conduct o</w:t>
      </w:r>
      <w:r w:rsidR="00F6200F" w:rsidRPr="00F6200F">
        <w:rPr>
          <w:rFonts w:asciiTheme="minorHAnsi" w:hAnsiTheme="minorHAnsi"/>
          <w:b w:val="0"/>
          <w:color w:val="auto"/>
          <w:sz w:val="21"/>
          <w:szCs w:val="21"/>
        </w:rPr>
        <w:t xml:space="preserve">f visitors whilst at the Centre are provided in advance of the visit and </w:t>
      </w:r>
      <w:r w:rsidRPr="00F6200F">
        <w:rPr>
          <w:rFonts w:asciiTheme="minorHAnsi" w:hAnsiTheme="minorHAnsi"/>
          <w:b w:val="0"/>
          <w:color w:val="auto"/>
          <w:sz w:val="21"/>
          <w:szCs w:val="21"/>
        </w:rPr>
        <w:t>will be discussed on arrival.</w:t>
      </w:r>
    </w:p>
    <w:p w:rsidR="0003771E" w:rsidRPr="00F6200F" w:rsidRDefault="0003771E" w:rsidP="0003771E">
      <w:pPr>
        <w:tabs>
          <w:tab w:val="left" w:pos="8647"/>
        </w:tabs>
        <w:spacing w:after="0"/>
        <w:ind w:left="-142"/>
        <w:jc w:val="both"/>
        <w:rPr>
          <w:rFonts w:asciiTheme="minorHAnsi" w:hAnsiTheme="minorHAnsi"/>
          <w:sz w:val="21"/>
          <w:szCs w:val="21"/>
        </w:rPr>
      </w:pPr>
    </w:p>
    <w:p w:rsidR="0003771E" w:rsidRPr="00F6200F" w:rsidRDefault="0003771E" w:rsidP="0003771E">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CHILD PROTECTION</w:t>
      </w:r>
    </w:p>
    <w:p w:rsidR="0003771E" w:rsidRPr="00F6200F" w:rsidRDefault="00574F56" w:rsidP="0003771E">
      <w:pPr>
        <w:pStyle w:val="Heading2"/>
        <w:tabs>
          <w:tab w:val="left" w:pos="8647"/>
        </w:tabs>
        <w:spacing w:before="0"/>
        <w:ind w:left="-142"/>
        <w:rPr>
          <w:rFonts w:asciiTheme="minorHAnsi" w:hAnsiTheme="minorHAnsi"/>
          <w:b w:val="0"/>
          <w:color w:val="auto"/>
          <w:sz w:val="21"/>
          <w:szCs w:val="21"/>
        </w:rPr>
      </w:pPr>
      <w:r>
        <w:rPr>
          <w:rFonts w:asciiTheme="minorHAnsi" w:hAnsiTheme="minorHAnsi"/>
          <w:b w:val="0"/>
          <w:color w:val="auto"/>
          <w:sz w:val="21"/>
          <w:szCs w:val="21"/>
        </w:rPr>
        <w:t xml:space="preserve">DBS </w:t>
      </w:r>
      <w:r w:rsidR="0003771E" w:rsidRPr="00F6200F">
        <w:rPr>
          <w:rFonts w:asciiTheme="minorHAnsi" w:hAnsiTheme="minorHAnsi"/>
          <w:b w:val="0"/>
          <w:color w:val="auto"/>
          <w:sz w:val="21"/>
          <w:szCs w:val="21"/>
        </w:rPr>
        <w:t>and reference checks are carried out on all High Borrans staff and volunteers</w:t>
      </w:r>
      <w:r>
        <w:rPr>
          <w:rFonts w:asciiTheme="minorHAnsi" w:hAnsiTheme="minorHAnsi"/>
          <w:b w:val="0"/>
          <w:color w:val="auto"/>
          <w:sz w:val="21"/>
          <w:szCs w:val="21"/>
        </w:rPr>
        <w:t xml:space="preserve"> aged over eighteen</w:t>
      </w:r>
      <w:r w:rsidR="0003771E" w:rsidRPr="00F6200F">
        <w:rPr>
          <w:rFonts w:asciiTheme="minorHAnsi" w:hAnsiTheme="minorHAnsi"/>
          <w:b w:val="0"/>
          <w:color w:val="auto"/>
          <w:sz w:val="21"/>
          <w:szCs w:val="21"/>
        </w:rPr>
        <w:t>. The High Borrans policies are consistent with North Tyneside Council procedures.</w:t>
      </w:r>
    </w:p>
    <w:p w:rsidR="00AA52DF" w:rsidRDefault="00AA52DF" w:rsidP="00AA52DF">
      <w:pPr>
        <w:pStyle w:val="Heading2"/>
        <w:tabs>
          <w:tab w:val="left" w:pos="8647"/>
        </w:tabs>
        <w:spacing w:before="0"/>
        <w:ind w:left="-142"/>
        <w:rPr>
          <w:rFonts w:asciiTheme="minorHAnsi" w:hAnsiTheme="minorHAnsi"/>
          <w:color w:val="auto"/>
          <w:sz w:val="21"/>
          <w:szCs w:val="21"/>
        </w:rPr>
      </w:pPr>
    </w:p>
    <w:p w:rsidR="00AA52DF" w:rsidRPr="00F6200F" w:rsidRDefault="00AA52DF" w:rsidP="00AA52DF">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SECURITY ARRANGEMENTS</w:t>
      </w:r>
    </w:p>
    <w:p w:rsidR="00AA52DF" w:rsidRPr="009E2DF8" w:rsidRDefault="00AA52DF" w:rsidP="009E2DF8">
      <w:pPr>
        <w:pStyle w:val="Heading2"/>
        <w:tabs>
          <w:tab w:val="left" w:pos="8647"/>
        </w:tabs>
        <w:spacing w:before="0"/>
        <w:ind w:left="-142"/>
        <w:rPr>
          <w:rFonts w:asciiTheme="minorHAnsi" w:hAnsiTheme="minorHAnsi"/>
          <w:b w:val="0"/>
          <w:color w:val="auto"/>
          <w:sz w:val="21"/>
          <w:szCs w:val="21"/>
        </w:rPr>
      </w:pPr>
      <w:r w:rsidRPr="00F6200F">
        <w:rPr>
          <w:rFonts w:asciiTheme="minorHAnsi" w:hAnsiTheme="minorHAnsi"/>
          <w:b w:val="0"/>
          <w:color w:val="auto"/>
          <w:sz w:val="21"/>
          <w:szCs w:val="21"/>
        </w:rPr>
        <w:t>All external doors can be locked to prevent entry by an intruder, the commonly used doors are protected by keypad locks (regularly changed) with and the doors are fitted with self-returners.  An additional night time lock up checking procedure is in place.</w:t>
      </w:r>
    </w:p>
    <w:p w:rsidR="00AA52DF" w:rsidRDefault="00AA52DF" w:rsidP="00AA52DF">
      <w:pPr>
        <w:tabs>
          <w:tab w:val="left" w:pos="8647"/>
        </w:tabs>
        <w:spacing w:after="0"/>
        <w:ind w:left="-142"/>
        <w:jc w:val="both"/>
        <w:rPr>
          <w:rFonts w:asciiTheme="minorHAnsi" w:hAnsiTheme="minorHAnsi"/>
          <w:b/>
          <w:sz w:val="21"/>
          <w:szCs w:val="21"/>
        </w:rPr>
      </w:pPr>
      <w:r w:rsidRPr="00AA52DF">
        <w:rPr>
          <w:rFonts w:asciiTheme="minorHAnsi" w:hAnsiTheme="minorHAnsi"/>
          <w:b/>
          <w:sz w:val="21"/>
          <w:szCs w:val="21"/>
        </w:rPr>
        <w:t xml:space="preserve">FIRE PROTECTION </w:t>
      </w:r>
    </w:p>
    <w:p w:rsidR="00AA52DF" w:rsidRDefault="00AA52DF" w:rsidP="00AA52DF">
      <w:pPr>
        <w:tabs>
          <w:tab w:val="left" w:pos="8647"/>
        </w:tabs>
        <w:spacing w:after="0"/>
        <w:ind w:left="-142"/>
        <w:jc w:val="both"/>
        <w:rPr>
          <w:rFonts w:asciiTheme="minorHAnsi" w:hAnsiTheme="minorHAnsi"/>
          <w:sz w:val="21"/>
          <w:szCs w:val="21"/>
        </w:rPr>
      </w:pPr>
      <w:r w:rsidRPr="00AA52DF">
        <w:rPr>
          <w:rFonts w:asciiTheme="minorHAnsi" w:hAnsiTheme="minorHAnsi"/>
          <w:sz w:val="21"/>
          <w:szCs w:val="21"/>
        </w:rPr>
        <w:t>High Borrans is not required to hold a Fire Certificate, however the Centre is inspected annually by a North Tyneside Council appointed person who produces the fire risk assessment and ensures High Borrans meets the Council’s Fire Safety standards.</w:t>
      </w:r>
      <w:r>
        <w:rPr>
          <w:rFonts w:asciiTheme="minorHAnsi" w:hAnsiTheme="minorHAnsi"/>
          <w:sz w:val="21"/>
          <w:szCs w:val="21"/>
        </w:rPr>
        <w:t xml:space="preserve"> </w:t>
      </w:r>
    </w:p>
    <w:p w:rsidR="00AA52DF" w:rsidRDefault="00AA52DF" w:rsidP="00AA52DF">
      <w:pPr>
        <w:tabs>
          <w:tab w:val="left" w:pos="8647"/>
        </w:tabs>
        <w:spacing w:after="0"/>
        <w:ind w:left="-142"/>
        <w:jc w:val="both"/>
        <w:rPr>
          <w:rFonts w:asciiTheme="minorHAnsi" w:hAnsiTheme="minorHAnsi"/>
          <w:sz w:val="21"/>
          <w:szCs w:val="21"/>
        </w:rPr>
      </w:pPr>
    </w:p>
    <w:p w:rsidR="0003771E" w:rsidRDefault="0003771E" w:rsidP="00AA52DF">
      <w:pPr>
        <w:tabs>
          <w:tab w:val="left" w:pos="8647"/>
        </w:tabs>
        <w:spacing w:after="0"/>
        <w:ind w:left="-142"/>
        <w:jc w:val="both"/>
        <w:rPr>
          <w:rFonts w:asciiTheme="minorHAnsi" w:hAnsiTheme="minorHAnsi"/>
          <w:b/>
          <w:sz w:val="21"/>
          <w:szCs w:val="21"/>
        </w:rPr>
      </w:pPr>
      <w:r w:rsidRPr="00AA52DF">
        <w:rPr>
          <w:rFonts w:asciiTheme="minorHAnsi" w:hAnsiTheme="minorHAnsi"/>
          <w:b/>
          <w:sz w:val="21"/>
          <w:szCs w:val="21"/>
        </w:rPr>
        <w:t>INSURANCE</w:t>
      </w:r>
    </w:p>
    <w:p w:rsidR="00F76BBC" w:rsidRDefault="00AA52DF" w:rsidP="00F76BBC">
      <w:pPr>
        <w:tabs>
          <w:tab w:val="left" w:pos="8647"/>
        </w:tabs>
        <w:spacing w:after="0"/>
        <w:ind w:left="-142"/>
        <w:jc w:val="both"/>
        <w:rPr>
          <w:rFonts w:asciiTheme="minorHAnsi" w:hAnsiTheme="minorHAnsi"/>
          <w:sz w:val="21"/>
          <w:szCs w:val="21"/>
        </w:rPr>
      </w:pPr>
      <w:r>
        <w:rPr>
          <w:rFonts w:asciiTheme="minorHAnsi" w:hAnsiTheme="minorHAnsi"/>
          <w:sz w:val="21"/>
          <w:szCs w:val="21"/>
        </w:rPr>
        <w:t>High Borrans, as part of Nort</w:t>
      </w:r>
      <w:r w:rsidR="005518F8">
        <w:rPr>
          <w:rFonts w:asciiTheme="minorHAnsi" w:hAnsiTheme="minorHAnsi"/>
          <w:sz w:val="21"/>
          <w:szCs w:val="21"/>
        </w:rPr>
        <w:t>h Tyneside Council, holds Public</w:t>
      </w:r>
      <w:r>
        <w:rPr>
          <w:rFonts w:asciiTheme="minorHAnsi" w:hAnsiTheme="minorHAnsi"/>
          <w:sz w:val="21"/>
          <w:szCs w:val="21"/>
        </w:rPr>
        <w:t xml:space="preserve"> Liability Insurance, as required by law. It has a l</w:t>
      </w:r>
      <w:r w:rsidR="005518F8">
        <w:rPr>
          <w:rFonts w:asciiTheme="minorHAnsi" w:hAnsiTheme="minorHAnsi"/>
          <w:sz w:val="21"/>
          <w:szCs w:val="21"/>
        </w:rPr>
        <w:t>i</w:t>
      </w:r>
      <w:r w:rsidR="00574F56">
        <w:rPr>
          <w:rFonts w:asciiTheme="minorHAnsi" w:hAnsiTheme="minorHAnsi"/>
          <w:sz w:val="21"/>
          <w:szCs w:val="21"/>
        </w:rPr>
        <w:t>mit of £30</w:t>
      </w:r>
      <w:r>
        <w:rPr>
          <w:rFonts w:asciiTheme="minorHAnsi" w:hAnsiTheme="minorHAnsi"/>
          <w:sz w:val="21"/>
          <w:szCs w:val="21"/>
        </w:rPr>
        <w:t xml:space="preserve"> million indemnity for any one incident. We would recommend participants make their own provision for p</w:t>
      </w:r>
      <w:r w:rsidR="002763DE">
        <w:rPr>
          <w:rFonts w:asciiTheme="minorHAnsi" w:hAnsiTheme="minorHAnsi"/>
          <w:sz w:val="21"/>
          <w:szCs w:val="21"/>
        </w:rPr>
        <w:t>ersonal accident cover should t</w:t>
      </w:r>
      <w:r>
        <w:rPr>
          <w:rFonts w:asciiTheme="minorHAnsi" w:hAnsiTheme="minorHAnsi"/>
          <w:sz w:val="21"/>
          <w:szCs w:val="21"/>
        </w:rPr>
        <w:t xml:space="preserve">hey consider it appropriate. </w:t>
      </w:r>
      <w:r w:rsidR="00F76BBC">
        <w:rPr>
          <w:rFonts w:asciiTheme="minorHAnsi" w:hAnsiTheme="minorHAnsi"/>
          <w:sz w:val="21"/>
          <w:szCs w:val="21"/>
        </w:rPr>
        <w:t xml:space="preserve">              </w:t>
      </w:r>
    </w:p>
    <w:p w:rsidR="0003771E" w:rsidRPr="00F76BBC" w:rsidRDefault="00574F56" w:rsidP="00F76BBC">
      <w:pPr>
        <w:tabs>
          <w:tab w:val="left" w:pos="8647"/>
        </w:tabs>
        <w:spacing w:after="0"/>
        <w:ind w:left="-142"/>
        <w:jc w:val="right"/>
        <w:rPr>
          <w:rFonts w:asciiTheme="minorHAnsi" w:hAnsiTheme="minorHAnsi"/>
          <w:sz w:val="21"/>
          <w:szCs w:val="21"/>
        </w:rPr>
      </w:pPr>
      <w:r>
        <w:rPr>
          <w:rFonts w:asciiTheme="minorHAnsi" w:hAnsiTheme="minorHAnsi"/>
          <w:sz w:val="21"/>
          <w:szCs w:val="21"/>
        </w:rPr>
        <w:t>James Bumby</w:t>
      </w:r>
      <w:r w:rsidR="0003771E" w:rsidRPr="00F6200F">
        <w:rPr>
          <w:rFonts w:asciiTheme="minorHAnsi" w:hAnsiTheme="minorHAnsi"/>
          <w:sz w:val="21"/>
          <w:szCs w:val="21"/>
        </w:rPr>
        <w:t xml:space="preserve">, Head of Centre. </w:t>
      </w:r>
      <w:r w:rsidR="00516BB3">
        <w:rPr>
          <w:rFonts w:asciiTheme="minorHAnsi" w:hAnsiTheme="minorHAnsi"/>
          <w:sz w:val="21"/>
          <w:szCs w:val="21"/>
        </w:rPr>
        <w:t>January 2020</w:t>
      </w:r>
    </w:p>
    <w:sectPr w:rsidR="0003771E" w:rsidRPr="00F76BBC" w:rsidSect="00651B9A">
      <w:headerReference w:type="default" r:id="rId9"/>
      <w:footerReference w:type="default" r:id="rId10"/>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56" w:rsidRDefault="00574F56" w:rsidP="008B27B1">
      <w:pPr>
        <w:spacing w:after="0" w:line="240" w:lineRule="auto"/>
      </w:pPr>
      <w:r>
        <w:separator/>
      </w:r>
    </w:p>
  </w:endnote>
  <w:endnote w:type="continuationSeparator" w:id="0">
    <w:p w:rsidR="00574F56" w:rsidRDefault="00574F56" w:rsidP="008B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56" w:rsidRDefault="004018FC" w:rsidP="009D23BA">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85pt;height:4pt" o:hrpct="0" o:hralign="center" o:hr="t">
          <v:imagedata r:id="rId1" o:title="BD21318_"/>
        </v:shape>
      </w:pict>
    </w:r>
    <w:r w:rsidR="00574F56">
      <w:t xml:space="preserve">Page </w:t>
    </w:r>
    <w:r>
      <w:t xml:space="preserve">25     </w:t>
    </w:r>
    <w:r w:rsidR="00574F56">
      <w:t xml:space="preserve">                                                  </w:t>
    </w:r>
    <w:r w:rsidR="009E2DF8">
      <w:t xml:space="preserve">                          </w:t>
    </w:r>
    <w:r w:rsidR="00574F56">
      <w:t xml:space="preserve"> High Borrans Out</w:t>
    </w:r>
    <w:r w:rsidR="00516BB3">
      <w:t>door Education Centre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56" w:rsidRDefault="00574F56" w:rsidP="008B27B1">
      <w:pPr>
        <w:spacing w:after="0" w:line="240" w:lineRule="auto"/>
      </w:pPr>
      <w:r>
        <w:separator/>
      </w:r>
    </w:p>
  </w:footnote>
  <w:footnote w:type="continuationSeparator" w:id="0">
    <w:p w:rsidR="00574F56" w:rsidRDefault="00574F56" w:rsidP="008B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56" w:rsidRDefault="00574F56" w:rsidP="008B27B1">
    <w:r>
      <w:rPr>
        <w:noProof/>
        <w:lang w:eastAsia="en-GB"/>
      </w:rPr>
      <w:drawing>
        <wp:anchor distT="0" distB="0" distL="114300" distR="114300" simplePos="0" relativeHeight="251662336" behindDoc="0" locked="0" layoutInCell="1" allowOverlap="1">
          <wp:simplePos x="0" y="0"/>
          <wp:positionH relativeFrom="column">
            <wp:posOffset>-191770</wp:posOffset>
          </wp:positionH>
          <wp:positionV relativeFrom="paragraph">
            <wp:posOffset>-224155</wp:posOffset>
          </wp:positionV>
          <wp:extent cx="977900" cy="842645"/>
          <wp:effectExtent l="19050" t="0" r="0" b="0"/>
          <wp:wrapNone/>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
                  <a:srcRect/>
                  <a:stretch>
                    <a:fillRect/>
                  </a:stretch>
                </pic:blipFill>
                <pic:spPr bwMode="auto">
                  <a:xfrm>
                    <a:off x="0" y="0"/>
                    <a:ext cx="977900" cy="8426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0" allowOverlap="1">
          <wp:simplePos x="0" y="0"/>
          <wp:positionH relativeFrom="column">
            <wp:posOffset>1137920</wp:posOffset>
          </wp:positionH>
          <wp:positionV relativeFrom="paragraph">
            <wp:posOffset>-93345</wp:posOffset>
          </wp:positionV>
          <wp:extent cx="1678940" cy="498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78940" cy="498475"/>
                  </a:xfrm>
                  <a:prstGeom prst="rect">
                    <a:avLst/>
                  </a:prstGeom>
                  <a:solidFill>
                    <a:srgbClr val="FFFFFF"/>
                  </a:solidFill>
                  <a:ln w="9525">
                    <a:noFill/>
                    <a:miter lim="800000"/>
                    <a:headEnd/>
                    <a:tailEnd/>
                  </a:ln>
                </pic:spPr>
              </pic:pic>
            </a:graphicData>
          </a:graphic>
        </wp:anchor>
      </w:drawing>
    </w:r>
    <w:r w:rsidR="004018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85pt;height:8pt" o:hrpct="0" o:hralign="center" o:hr="t">
          <v:imagedata r:id="rId3" o:title="BD21318_"/>
        </v:shape>
      </w:pict>
    </w:r>
  </w:p>
  <w:p w:rsidR="00574F56" w:rsidRDefault="00574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3522"/>
    <w:multiLevelType w:val="hybridMultilevel"/>
    <w:tmpl w:val="15A23816"/>
    <w:lvl w:ilvl="0" w:tplc="BAC25D78">
      <w:start w:val="1"/>
      <w:numFmt w:val="bullet"/>
      <w:lvlText w:val=""/>
      <w:lvlJc w:val="left"/>
      <w:pPr>
        <w:tabs>
          <w:tab w:val="num" w:pos="218"/>
        </w:tabs>
        <w:ind w:left="21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2"/>
  </w:compat>
  <w:rsids>
    <w:rsidRoot w:val="00C40B67"/>
    <w:rsid w:val="00011D9A"/>
    <w:rsid w:val="0003771E"/>
    <w:rsid w:val="00091AE7"/>
    <w:rsid w:val="000C325D"/>
    <w:rsid w:val="001063E1"/>
    <w:rsid w:val="002763DE"/>
    <w:rsid w:val="003130D7"/>
    <w:rsid w:val="00323E60"/>
    <w:rsid w:val="003848FB"/>
    <w:rsid w:val="003C14A1"/>
    <w:rsid w:val="004018FC"/>
    <w:rsid w:val="004724BA"/>
    <w:rsid w:val="004C2052"/>
    <w:rsid w:val="00516BB3"/>
    <w:rsid w:val="0053262D"/>
    <w:rsid w:val="005518F8"/>
    <w:rsid w:val="00574F56"/>
    <w:rsid w:val="005836D5"/>
    <w:rsid w:val="005C0C66"/>
    <w:rsid w:val="00633C74"/>
    <w:rsid w:val="00651B9A"/>
    <w:rsid w:val="00653940"/>
    <w:rsid w:val="007F57A9"/>
    <w:rsid w:val="008B27B1"/>
    <w:rsid w:val="008E7CC9"/>
    <w:rsid w:val="009D23BA"/>
    <w:rsid w:val="009E2DF8"/>
    <w:rsid w:val="00A2577D"/>
    <w:rsid w:val="00A55A8E"/>
    <w:rsid w:val="00A9109E"/>
    <w:rsid w:val="00A93CA1"/>
    <w:rsid w:val="00AA52DF"/>
    <w:rsid w:val="00B903CC"/>
    <w:rsid w:val="00BD3813"/>
    <w:rsid w:val="00C40B67"/>
    <w:rsid w:val="00C75ADE"/>
    <w:rsid w:val="00C969FC"/>
    <w:rsid w:val="00D10A97"/>
    <w:rsid w:val="00D167B0"/>
    <w:rsid w:val="00D573B8"/>
    <w:rsid w:val="00D96432"/>
    <w:rsid w:val="00E06779"/>
    <w:rsid w:val="00E60E6E"/>
    <w:rsid w:val="00E92497"/>
    <w:rsid w:val="00EC6D4D"/>
    <w:rsid w:val="00F32EC4"/>
    <w:rsid w:val="00F6200F"/>
    <w:rsid w:val="00F7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A"/>
    <w:pPr>
      <w:spacing w:after="200" w:line="276" w:lineRule="auto"/>
    </w:pPr>
    <w:rPr>
      <w:sz w:val="22"/>
      <w:szCs w:val="22"/>
      <w:lang w:eastAsia="en-US"/>
    </w:rPr>
  </w:style>
  <w:style w:type="paragraph" w:styleId="Heading1">
    <w:name w:val="heading 1"/>
    <w:basedOn w:val="Normal"/>
    <w:next w:val="Normal"/>
    <w:link w:val="Heading1Char"/>
    <w:uiPriority w:val="9"/>
    <w:qFormat/>
    <w:rsid w:val="00037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7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7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836D5"/>
    <w:pPr>
      <w:keepNext/>
      <w:pBdr>
        <w:top w:val="single" w:sz="4" w:space="1" w:color="auto"/>
        <w:left w:val="single" w:sz="4" w:space="4" w:color="auto"/>
        <w:bottom w:val="single" w:sz="4" w:space="1" w:color="auto"/>
        <w:right w:val="single" w:sz="4" w:space="4" w:color="auto"/>
      </w:pBdr>
      <w:spacing w:after="0" w:line="240" w:lineRule="auto"/>
      <w:outlineLvl w:val="3"/>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B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B1"/>
    <w:rPr>
      <w:sz w:val="22"/>
      <w:szCs w:val="22"/>
      <w:lang w:eastAsia="en-US"/>
    </w:rPr>
  </w:style>
  <w:style w:type="paragraph" w:styleId="Footer">
    <w:name w:val="footer"/>
    <w:basedOn w:val="Normal"/>
    <w:link w:val="FooterChar"/>
    <w:uiPriority w:val="99"/>
    <w:unhideWhenUsed/>
    <w:rsid w:val="008B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B1"/>
    <w:rPr>
      <w:sz w:val="22"/>
      <w:szCs w:val="22"/>
      <w:lang w:eastAsia="en-US"/>
    </w:rPr>
  </w:style>
  <w:style w:type="paragraph" w:styleId="BalloonText">
    <w:name w:val="Balloon Text"/>
    <w:basedOn w:val="Normal"/>
    <w:link w:val="BalloonTextChar"/>
    <w:uiPriority w:val="99"/>
    <w:semiHidden/>
    <w:unhideWhenUsed/>
    <w:rsid w:val="008B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B1"/>
    <w:rPr>
      <w:rFonts w:ascii="Tahoma" w:hAnsi="Tahoma" w:cs="Tahoma"/>
      <w:sz w:val="16"/>
      <w:szCs w:val="16"/>
      <w:lang w:eastAsia="en-US"/>
    </w:rPr>
  </w:style>
  <w:style w:type="character" w:styleId="Hyperlink">
    <w:name w:val="Hyperlink"/>
    <w:basedOn w:val="DefaultParagraphFont"/>
    <w:uiPriority w:val="99"/>
    <w:unhideWhenUsed/>
    <w:rsid w:val="008B27B1"/>
    <w:rPr>
      <w:color w:val="0000FF" w:themeColor="hyperlink"/>
      <w:u w:val="single"/>
    </w:rPr>
  </w:style>
  <w:style w:type="character" w:customStyle="1" w:styleId="Heading4Char">
    <w:name w:val="Heading 4 Char"/>
    <w:basedOn w:val="DefaultParagraphFont"/>
    <w:link w:val="Heading4"/>
    <w:rsid w:val="005836D5"/>
    <w:rPr>
      <w:rFonts w:ascii="Arial" w:eastAsia="Times New Roman" w:hAnsi="Arial"/>
      <w:b/>
      <w:bCs/>
      <w:sz w:val="22"/>
      <w:szCs w:val="24"/>
      <w:lang w:eastAsia="en-US"/>
    </w:rPr>
  </w:style>
  <w:style w:type="character" w:customStyle="1" w:styleId="Heading1Char">
    <w:name w:val="Heading 1 Char"/>
    <w:basedOn w:val="DefaultParagraphFont"/>
    <w:link w:val="Heading1"/>
    <w:uiPriority w:val="9"/>
    <w:rsid w:val="0003771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03771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3771E"/>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03771E"/>
    <w:pPr>
      <w:spacing w:after="0" w:line="240" w:lineRule="auto"/>
      <w:jc w:val="center"/>
    </w:pPr>
    <w:rPr>
      <w:rFonts w:ascii="Arial" w:eastAsia="Times New Roman" w:hAnsi="Arial"/>
      <w:b/>
      <w:sz w:val="32"/>
      <w:szCs w:val="20"/>
      <w:lang w:eastAsia="en-GB"/>
    </w:rPr>
  </w:style>
  <w:style w:type="character" w:customStyle="1" w:styleId="TitleChar">
    <w:name w:val="Title Char"/>
    <w:basedOn w:val="DefaultParagraphFont"/>
    <w:link w:val="Title"/>
    <w:rsid w:val="0003771E"/>
    <w:rPr>
      <w:rFonts w:ascii="Arial" w:eastAsia="Times New Roman" w:hAnsi="Arial"/>
      <w:b/>
      <w:sz w:val="32"/>
    </w:rPr>
  </w:style>
  <w:style w:type="paragraph" w:styleId="BodyText">
    <w:name w:val="Body Text"/>
    <w:basedOn w:val="Normal"/>
    <w:link w:val="BodyTextChar"/>
    <w:semiHidden/>
    <w:unhideWhenUsed/>
    <w:rsid w:val="0003771E"/>
    <w:pPr>
      <w:spacing w:after="0" w:line="240" w:lineRule="auto"/>
      <w:jc w:val="both"/>
    </w:pPr>
    <w:rPr>
      <w:rFonts w:ascii="Arial" w:eastAsia="Times New Roman" w:hAnsi="Arial"/>
      <w:sz w:val="24"/>
      <w:szCs w:val="20"/>
      <w:lang w:eastAsia="en-GB"/>
    </w:rPr>
  </w:style>
  <w:style w:type="character" w:customStyle="1" w:styleId="BodyTextChar">
    <w:name w:val="Body Text Char"/>
    <w:basedOn w:val="DefaultParagraphFont"/>
    <w:link w:val="BodyText"/>
    <w:semiHidden/>
    <w:rsid w:val="0003771E"/>
    <w:rPr>
      <w:rFonts w:ascii="Arial" w:eastAsia="Times New Roman" w:hAnsi="Arial"/>
      <w:sz w:val="24"/>
    </w:rPr>
  </w:style>
  <w:style w:type="paragraph" w:styleId="BodyTextIndent">
    <w:name w:val="Body Text Indent"/>
    <w:basedOn w:val="Normal"/>
    <w:link w:val="BodyTextIndentChar"/>
    <w:semiHidden/>
    <w:unhideWhenUsed/>
    <w:rsid w:val="0003771E"/>
    <w:pPr>
      <w:spacing w:after="0" w:line="240" w:lineRule="auto"/>
      <w:ind w:left="-142" w:firstLine="425"/>
      <w:jc w:val="center"/>
    </w:pPr>
    <w:rPr>
      <w:rFonts w:ascii="Arial" w:eastAsia="Times" w:hAnsi="Arial"/>
      <w:b/>
      <w:bCs/>
      <w:sz w:val="20"/>
      <w:szCs w:val="20"/>
      <w:lang w:eastAsia="en-GB"/>
    </w:rPr>
  </w:style>
  <w:style w:type="character" w:customStyle="1" w:styleId="BodyTextIndentChar">
    <w:name w:val="Body Text Indent Char"/>
    <w:basedOn w:val="DefaultParagraphFont"/>
    <w:link w:val="BodyTextIndent"/>
    <w:semiHidden/>
    <w:rsid w:val="0003771E"/>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oec.org/gold_standard.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 Borrans Outdoor Education Centre</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James Bumby</cp:lastModifiedBy>
  <cp:revision>14</cp:revision>
  <cp:lastPrinted>2020-05-01T13:39:00Z</cp:lastPrinted>
  <dcterms:created xsi:type="dcterms:W3CDTF">2012-05-03T12:44:00Z</dcterms:created>
  <dcterms:modified xsi:type="dcterms:W3CDTF">2020-05-01T13:43:00Z</dcterms:modified>
</cp:coreProperties>
</file>